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8EC75" w14:textId="77777777" w:rsidR="003141A2" w:rsidRDefault="001459D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DC6DB49" wp14:editId="60D762F3">
            <wp:extent cx="5731510" cy="17506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ST-Logo-Red sti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42311" w14:textId="77777777" w:rsidR="001459DA" w:rsidRDefault="001459DA"/>
    <w:p w14:paraId="0681FF7F" w14:textId="77777777" w:rsidR="00B3570A" w:rsidRPr="00DF15AF" w:rsidRDefault="00B3570A" w:rsidP="001459DA">
      <w:pPr>
        <w:jc w:val="center"/>
        <w:rPr>
          <w:color w:val="002060"/>
          <w:sz w:val="52"/>
          <w:szCs w:val="52"/>
        </w:rPr>
      </w:pPr>
    </w:p>
    <w:p w14:paraId="03065019" w14:textId="56F4CCE2" w:rsidR="001459DA" w:rsidRDefault="0038511F" w:rsidP="001459DA">
      <w:pPr>
        <w:jc w:val="center"/>
        <w:rPr>
          <w:color w:val="002060"/>
          <w:sz w:val="50"/>
          <w:szCs w:val="52"/>
        </w:rPr>
      </w:pPr>
      <w:r>
        <w:rPr>
          <w:color w:val="002060"/>
          <w:sz w:val="50"/>
          <w:szCs w:val="52"/>
        </w:rPr>
        <w:t>20</w:t>
      </w:r>
      <w:r w:rsidRPr="0038511F">
        <w:rPr>
          <w:color w:val="002060"/>
          <w:sz w:val="50"/>
          <w:szCs w:val="52"/>
          <w:vertAlign w:val="superscript"/>
        </w:rPr>
        <w:t>th</w:t>
      </w:r>
      <w:r>
        <w:rPr>
          <w:color w:val="002060"/>
          <w:sz w:val="50"/>
          <w:szCs w:val="52"/>
        </w:rPr>
        <w:t xml:space="preserve"> January</w:t>
      </w:r>
      <w:r w:rsidR="00A03203">
        <w:rPr>
          <w:color w:val="002060"/>
          <w:sz w:val="50"/>
          <w:szCs w:val="52"/>
        </w:rPr>
        <w:t xml:space="preserve"> Languages Cluster meeting</w:t>
      </w:r>
    </w:p>
    <w:p w14:paraId="243B7CCA" w14:textId="77777777" w:rsidR="00DF15AF" w:rsidRPr="00DF15AF" w:rsidRDefault="00DF15AF" w:rsidP="001459DA">
      <w:pPr>
        <w:jc w:val="center"/>
        <w:rPr>
          <w:color w:val="002060"/>
          <w:sz w:val="50"/>
          <w:szCs w:val="52"/>
        </w:rPr>
      </w:pPr>
    </w:p>
    <w:p w14:paraId="192F2396" w14:textId="65FB70C4" w:rsidR="001459DA" w:rsidRPr="00DF15AF" w:rsidRDefault="001459DA" w:rsidP="00B3570A">
      <w:pPr>
        <w:pStyle w:val="ListParagraph"/>
        <w:numPr>
          <w:ilvl w:val="0"/>
          <w:numId w:val="2"/>
        </w:numPr>
        <w:spacing w:line="360" w:lineRule="auto"/>
        <w:rPr>
          <w:color w:val="C00000"/>
          <w:sz w:val="30"/>
          <w:szCs w:val="32"/>
        </w:rPr>
      </w:pPr>
      <w:r w:rsidRPr="00DF15AF">
        <w:rPr>
          <w:color w:val="C00000"/>
          <w:sz w:val="30"/>
          <w:szCs w:val="32"/>
        </w:rPr>
        <w:t>Introductions and welcome</w:t>
      </w:r>
      <w:r w:rsidR="00B3570A" w:rsidRPr="00DF15AF">
        <w:rPr>
          <w:color w:val="C00000"/>
          <w:sz w:val="30"/>
          <w:szCs w:val="32"/>
        </w:rPr>
        <w:t xml:space="preserve"> </w:t>
      </w:r>
    </w:p>
    <w:p w14:paraId="4074DF93" w14:textId="6D6985E2" w:rsidR="00B3570A" w:rsidRDefault="00A03203" w:rsidP="00B3570A">
      <w:pPr>
        <w:pStyle w:val="ListParagraph"/>
        <w:numPr>
          <w:ilvl w:val="0"/>
          <w:numId w:val="2"/>
        </w:numPr>
        <w:spacing w:line="360" w:lineRule="auto"/>
        <w:rPr>
          <w:color w:val="C00000"/>
          <w:sz w:val="30"/>
          <w:szCs w:val="32"/>
        </w:rPr>
      </w:pPr>
      <w:r>
        <w:rPr>
          <w:color w:val="C00000"/>
          <w:sz w:val="30"/>
          <w:szCs w:val="32"/>
        </w:rPr>
        <w:t>Exam updates</w:t>
      </w:r>
      <w:r w:rsidR="0038511F">
        <w:rPr>
          <w:color w:val="C00000"/>
          <w:sz w:val="30"/>
          <w:szCs w:val="32"/>
        </w:rPr>
        <w:t xml:space="preserve"> for different boards</w:t>
      </w:r>
      <w:r>
        <w:rPr>
          <w:color w:val="C00000"/>
          <w:sz w:val="30"/>
          <w:szCs w:val="32"/>
        </w:rPr>
        <w:t xml:space="preserve"> and </w:t>
      </w:r>
      <w:r w:rsidR="0038511F">
        <w:rPr>
          <w:color w:val="C00000"/>
          <w:sz w:val="30"/>
          <w:szCs w:val="32"/>
        </w:rPr>
        <w:t>how we are responding</w:t>
      </w:r>
    </w:p>
    <w:p w14:paraId="04421B01" w14:textId="7F5EB299" w:rsidR="00E8572E" w:rsidRPr="00FB31AB" w:rsidRDefault="00E8572E" w:rsidP="00E8572E">
      <w:pPr>
        <w:pStyle w:val="ListParagraph"/>
        <w:numPr>
          <w:ilvl w:val="0"/>
          <w:numId w:val="3"/>
        </w:numPr>
        <w:spacing w:line="360" w:lineRule="auto"/>
        <w:rPr>
          <w:color w:val="44546A" w:themeColor="text2"/>
          <w:sz w:val="24"/>
          <w:szCs w:val="24"/>
        </w:rPr>
      </w:pPr>
      <w:r w:rsidRPr="00FB31AB">
        <w:rPr>
          <w:color w:val="44546A" w:themeColor="text2"/>
          <w:sz w:val="24"/>
          <w:szCs w:val="24"/>
        </w:rPr>
        <w:t xml:space="preserve">AQA exams cancelled and replaced by CAGS, CIE exams still scheduled to take place, which adds complications. </w:t>
      </w:r>
    </w:p>
    <w:p w14:paraId="179E274A" w14:textId="749F2068" w:rsidR="00E8572E" w:rsidRPr="00FB31AB" w:rsidRDefault="00FB31AB" w:rsidP="00E8572E">
      <w:pPr>
        <w:pStyle w:val="ListParagraph"/>
        <w:numPr>
          <w:ilvl w:val="0"/>
          <w:numId w:val="3"/>
        </w:numPr>
        <w:spacing w:line="360" w:lineRule="auto"/>
        <w:rPr>
          <w:color w:val="44546A" w:themeColor="text2"/>
          <w:sz w:val="24"/>
          <w:szCs w:val="24"/>
        </w:rPr>
      </w:pPr>
      <w:r w:rsidRPr="00FB31AB">
        <w:rPr>
          <w:color w:val="44546A" w:themeColor="text2"/>
          <w:sz w:val="24"/>
          <w:szCs w:val="24"/>
        </w:rPr>
        <w:t>evidence gathering: trying to establish data points for Year 11s and 13s</w:t>
      </w:r>
    </w:p>
    <w:p w14:paraId="17AB3BE8" w14:textId="12B23348" w:rsidR="00FB31AB" w:rsidRPr="00FB31AB" w:rsidRDefault="00FB31AB" w:rsidP="00E8572E">
      <w:pPr>
        <w:pStyle w:val="ListParagraph"/>
        <w:numPr>
          <w:ilvl w:val="0"/>
          <w:numId w:val="3"/>
        </w:numPr>
        <w:spacing w:line="360" w:lineRule="auto"/>
        <w:rPr>
          <w:color w:val="44546A" w:themeColor="text2"/>
          <w:sz w:val="24"/>
          <w:szCs w:val="24"/>
        </w:rPr>
      </w:pPr>
      <w:r w:rsidRPr="00FB31AB">
        <w:rPr>
          <w:color w:val="44546A" w:themeColor="text2"/>
          <w:sz w:val="24"/>
          <w:szCs w:val="24"/>
        </w:rPr>
        <w:t xml:space="preserve">gathering written work for each student as evidence, but also recognising that this is hard without much guidance from Ofqual as to what evidence will be considered </w:t>
      </w:r>
    </w:p>
    <w:p w14:paraId="5EB1D913" w14:textId="0796BCAC" w:rsidR="001459DA" w:rsidRDefault="00B3570A" w:rsidP="00B3570A">
      <w:pPr>
        <w:pStyle w:val="ListParagraph"/>
        <w:numPr>
          <w:ilvl w:val="0"/>
          <w:numId w:val="2"/>
        </w:numPr>
        <w:spacing w:line="360" w:lineRule="auto"/>
        <w:rPr>
          <w:color w:val="C00000"/>
          <w:sz w:val="30"/>
          <w:szCs w:val="32"/>
        </w:rPr>
      </w:pPr>
      <w:r w:rsidRPr="00DF15AF">
        <w:rPr>
          <w:color w:val="C00000"/>
          <w:sz w:val="30"/>
          <w:szCs w:val="32"/>
        </w:rPr>
        <w:t xml:space="preserve">Supporting Year 11 and 13 </w:t>
      </w:r>
    </w:p>
    <w:p w14:paraId="3CD0C25D" w14:textId="124BCD84" w:rsidR="00FB31AB" w:rsidRPr="00714307" w:rsidRDefault="00FB31AB" w:rsidP="00FB31AB">
      <w:pPr>
        <w:pStyle w:val="ListParagraph"/>
        <w:numPr>
          <w:ilvl w:val="0"/>
          <w:numId w:val="3"/>
        </w:numPr>
        <w:spacing w:line="360" w:lineRule="auto"/>
        <w:rPr>
          <w:color w:val="44546A" w:themeColor="text2"/>
          <w:sz w:val="24"/>
          <w:szCs w:val="24"/>
        </w:rPr>
      </w:pPr>
      <w:r w:rsidRPr="00714307">
        <w:rPr>
          <w:color w:val="44546A" w:themeColor="text2"/>
          <w:sz w:val="24"/>
          <w:szCs w:val="24"/>
        </w:rPr>
        <w:t>some really struggling with motivation</w:t>
      </w:r>
    </w:p>
    <w:p w14:paraId="01180D3C" w14:textId="3CF5CD10" w:rsidR="008055DC" w:rsidRPr="00714307" w:rsidRDefault="008055DC" w:rsidP="00FB31AB">
      <w:pPr>
        <w:pStyle w:val="ListParagraph"/>
        <w:numPr>
          <w:ilvl w:val="0"/>
          <w:numId w:val="3"/>
        </w:numPr>
        <w:spacing w:line="360" w:lineRule="auto"/>
        <w:rPr>
          <w:color w:val="44546A" w:themeColor="text2"/>
          <w:sz w:val="24"/>
          <w:szCs w:val="24"/>
        </w:rPr>
      </w:pPr>
      <w:r w:rsidRPr="00714307">
        <w:rPr>
          <w:color w:val="44546A" w:themeColor="text2"/>
          <w:sz w:val="24"/>
          <w:szCs w:val="24"/>
        </w:rPr>
        <w:t xml:space="preserve">continuing as normal at King’s for Year 11, as exams still taking place, but also trying to gather evidence at the same time. For Year 13 </w:t>
      </w:r>
      <w:r w:rsidR="00714307" w:rsidRPr="00714307">
        <w:rPr>
          <w:color w:val="44546A" w:themeColor="text2"/>
          <w:sz w:val="24"/>
          <w:szCs w:val="24"/>
        </w:rPr>
        <w:t>covering the course as normal in anticipation of mock exams next term, which will act as a data point (whether online or offline remains to be seen)</w:t>
      </w:r>
    </w:p>
    <w:p w14:paraId="280205BF" w14:textId="6A86D5D2" w:rsidR="0038511F" w:rsidRDefault="0038511F" w:rsidP="00B3570A">
      <w:pPr>
        <w:pStyle w:val="ListParagraph"/>
        <w:numPr>
          <w:ilvl w:val="0"/>
          <w:numId w:val="2"/>
        </w:numPr>
        <w:spacing w:line="360" w:lineRule="auto"/>
        <w:rPr>
          <w:color w:val="C00000"/>
          <w:sz w:val="30"/>
          <w:szCs w:val="32"/>
        </w:rPr>
      </w:pPr>
      <w:r>
        <w:rPr>
          <w:color w:val="C00000"/>
          <w:sz w:val="30"/>
          <w:szCs w:val="32"/>
        </w:rPr>
        <w:t>Evidence gathering</w:t>
      </w:r>
    </w:p>
    <w:p w14:paraId="51C5BD3E" w14:textId="6935C5EF" w:rsidR="00714307" w:rsidRPr="00714307" w:rsidRDefault="00714307" w:rsidP="00714307">
      <w:pPr>
        <w:pStyle w:val="ListParagraph"/>
        <w:numPr>
          <w:ilvl w:val="0"/>
          <w:numId w:val="3"/>
        </w:numPr>
        <w:spacing w:line="360" w:lineRule="auto"/>
        <w:rPr>
          <w:color w:val="44546A" w:themeColor="text2"/>
          <w:sz w:val="24"/>
          <w:szCs w:val="24"/>
        </w:rPr>
      </w:pPr>
      <w:r w:rsidRPr="00714307">
        <w:rPr>
          <w:color w:val="44546A" w:themeColor="text2"/>
          <w:sz w:val="24"/>
          <w:szCs w:val="24"/>
        </w:rPr>
        <w:t xml:space="preserve">St Anselm’s have had mocks recently, so have useful data which can be used. King’s had mini exam session in November and mocks are scheduled for after half-term. On top of this, aiming to gather evidence for each pupil – King’s aiming for one piece of </w:t>
      </w:r>
      <w:r w:rsidRPr="00714307">
        <w:rPr>
          <w:color w:val="44546A" w:themeColor="text2"/>
          <w:sz w:val="24"/>
          <w:szCs w:val="24"/>
        </w:rPr>
        <w:lastRenderedPageBreak/>
        <w:t xml:space="preserve">written work for each pupil from each half term. Once Ofqual guidance is released, we can then tailor our approach accordingly. </w:t>
      </w:r>
    </w:p>
    <w:p w14:paraId="0AFCD292" w14:textId="4685CD15" w:rsidR="0058066B" w:rsidRDefault="0058066B" w:rsidP="00B3570A">
      <w:pPr>
        <w:pStyle w:val="ListParagraph"/>
        <w:numPr>
          <w:ilvl w:val="0"/>
          <w:numId w:val="2"/>
        </w:numPr>
        <w:spacing w:line="360" w:lineRule="auto"/>
        <w:rPr>
          <w:color w:val="C00000"/>
          <w:sz w:val="30"/>
          <w:szCs w:val="32"/>
        </w:rPr>
      </w:pPr>
      <w:r>
        <w:rPr>
          <w:color w:val="C00000"/>
          <w:sz w:val="30"/>
          <w:szCs w:val="32"/>
        </w:rPr>
        <w:t xml:space="preserve">Pros/cons of different exam boards </w:t>
      </w:r>
    </w:p>
    <w:p w14:paraId="16196EBB" w14:textId="1B787902" w:rsidR="00714307" w:rsidRPr="00C421F4" w:rsidRDefault="00714307" w:rsidP="00714307">
      <w:pPr>
        <w:pStyle w:val="ListParagraph"/>
        <w:numPr>
          <w:ilvl w:val="0"/>
          <w:numId w:val="3"/>
        </w:numPr>
        <w:spacing w:line="360" w:lineRule="auto"/>
        <w:rPr>
          <w:color w:val="44546A" w:themeColor="text2"/>
          <w:sz w:val="24"/>
          <w:szCs w:val="24"/>
        </w:rPr>
      </w:pPr>
      <w:r w:rsidRPr="00C421F4">
        <w:rPr>
          <w:color w:val="44546A" w:themeColor="text2"/>
          <w:sz w:val="24"/>
          <w:szCs w:val="24"/>
        </w:rPr>
        <w:t>King’s hoping to move across to AQA or Edexcel GCSE in future. St Anselm’s have a lot of experience in teaching AQA. Pros: lots of resources available, good support out there</w:t>
      </w:r>
      <w:r w:rsidR="00C421F4" w:rsidRPr="00C421F4">
        <w:rPr>
          <w:color w:val="44546A" w:themeColor="text2"/>
          <w:sz w:val="24"/>
          <w:szCs w:val="24"/>
        </w:rPr>
        <w:t>, a fair and accessible exam. Recommend Studio and Dynamo for French, and Viva for Spanish. Possible cons: a bit harder than in the past. Not any tangible difference between AQA and Edexcel on the whole, but AQA seem to have better infrastructure in place.</w:t>
      </w:r>
    </w:p>
    <w:p w14:paraId="45A67299" w14:textId="772D0E8B" w:rsidR="00B3570A" w:rsidRDefault="0058066B" w:rsidP="00B3570A">
      <w:pPr>
        <w:pStyle w:val="ListParagraph"/>
        <w:numPr>
          <w:ilvl w:val="0"/>
          <w:numId w:val="2"/>
        </w:numPr>
        <w:spacing w:line="360" w:lineRule="auto"/>
        <w:rPr>
          <w:color w:val="C00000"/>
          <w:sz w:val="30"/>
          <w:szCs w:val="32"/>
        </w:rPr>
      </w:pPr>
      <w:r>
        <w:rPr>
          <w:color w:val="C00000"/>
          <w:sz w:val="30"/>
          <w:szCs w:val="32"/>
        </w:rPr>
        <w:t xml:space="preserve">Tips and tricks for online teaching, resources to be recommended </w:t>
      </w:r>
    </w:p>
    <w:p w14:paraId="1693F33E" w14:textId="7A8CD0EE" w:rsidR="00C421F4" w:rsidRPr="00144833" w:rsidRDefault="00203D7D" w:rsidP="00C421F4">
      <w:pPr>
        <w:pStyle w:val="ListParagraph"/>
        <w:numPr>
          <w:ilvl w:val="0"/>
          <w:numId w:val="3"/>
        </w:numPr>
        <w:spacing w:line="360" w:lineRule="auto"/>
        <w:rPr>
          <w:color w:val="44546A" w:themeColor="text2"/>
          <w:sz w:val="24"/>
          <w:szCs w:val="24"/>
        </w:rPr>
      </w:pPr>
      <w:proofErr w:type="spellStart"/>
      <w:r w:rsidRPr="00144833">
        <w:rPr>
          <w:color w:val="44546A" w:themeColor="text2"/>
          <w:sz w:val="24"/>
          <w:szCs w:val="24"/>
        </w:rPr>
        <w:t>Mentimeter</w:t>
      </w:r>
      <w:proofErr w:type="spellEnd"/>
      <w:r w:rsidRPr="00144833">
        <w:rPr>
          <w:color w:val="44546A" w:themeColor="text2"/>
          <w:sz w:val="24"/>
          <w:szCs w:val="24"/>
        </w:rPr>
        <w:t xml:space="preserve"> – good whole-class brainstorming tool</w:t>
      </w:r>
    </w:p>
    <w:p w14:paraId="073843BC" w14:textId="50984FF8" w:rsidR="00B0698C" w:rsidRPr="00144833" w:rsidRDefault="00B0698C" w:rsidP="00C421F4">
      <w:pPr>
        <w:pStyle w:val="ListParagraph"/>
        <w:numPr>
          <w:ilvl w:val="0"/>
          <w:numId w:val="3"/>
        </w:numPr>
        <w:spacing w:line="360" w:lineRule="auto"/>
        <w:rPr>
          <w:color w:val="44546A" w:themeColor="text2"/>
          <w:sz w:val="24"/>
          <w:szCs w:val="24"/>
        </w:rPr>
      </w:pPr>
      <w:r w:rsidRPr="00144833">
        <w:rPr>
          <w:color w:val="44546A" w:themeColor="text2"/>
          <w:sz w:val="24"/>
          <w:szCs w:val="24"/>
        </w:rPr>
        <w:t>Spiral – good for formative assessment and interactive learning</w:t>
      </w:r>
    </w:p>
    <w:p w14:paraId="7E40B7D4" w14:textId="769C5CEF" w:rsidR="00B0698C" w:rsidRPr="00144833" w:rsidRDefault="00F1263A" w:rsidP="00C421F4">
      <w:pPr>
        <w:pStyle w:val="ListParagraph"/>
        <w:numPr>
          <w:ilvl w:val="0"/>
          <w:numId w:val="3"/>
        </w:numPr>
        <w:spacing w:line="360" w:lineRule="auto"/>
        <w:rPr>
          <w:color w:val="44546A" w:themeColor="text2"/>
          <w:sz w:val="24"/>
          <w:szCs w:val="24"/>
        </w:rPr>
      </w:pPr>
      <w:proofErr w:type="spellStart"/>
      <w:r w:rsidRPr="00144833">
        <w:rPr>
          <w:color w:val="44546A" w:themeColor="text2"/>
          <w:sz w:val="24"/>
          <w:szCs w:val="24"/>
        </w:rPr>
        <w:t>Blooket</w:t>
      </w:r>
      <w:proofErr w:type="spellEnd"/>
      <w:r w:rsidRPr="00144833">
        <w:rPr>
          <w:color w:val="44546A" w:themeColor="text2"/>
          <w:sz w:val="24"/>
          <w:szCs w:val="24"/>
        </w:rPr>
        <w:t xml:space="preserve"> – combines learning with games and activities </w:t>
      </w:r>
    </w:p>
    <w:p w14:paraId="67A62280" w14:textId="573BC2D7" w:rsidR="00F1263A" w:rsidRPr="00144833" w:rsidRDefault="00F1263A" w:rsidP="00C421F4">
      <w:pPr>
        <w:pStyle w:val="ListParagraph"/>
        <w:numPr>
          <w:ilvl w:val="0"/>
          <w:numId w:val="3"/>
        </w:numPr>
        <w:spacing w:line="360" w:lineRule="auto"/>
        <w:rPr>
          <w:color w:val="44546A" w:themeColor="text2"/>
          <w:sz w:val="24"/>
          <w:szCs w:val="24"/>
        </w:rPr>
      </w:pPr>
      <w:proofErr w:type="spellStart"/>
      <w:r w:rsidRPr="00144833">
        <w:rPr>
          <w:color w:val="44546A" w:themeColor="text2"/>
          <w:sz w:val="24"/>
          <w:szCs w:val="24"/>
        </w:rPr>
        <w:t>ThisisLanguage</w:t>
      </w:r>
      <w:proofErr w:type="spellEnd"/>
      <w:r w:rsidRPr="00144833">
        <w:rPr>
          <w:color w:val="44546A" w:themeColor="text2"/>
          <w:sz w:val="24"/>
          <w:szCs w:val="24"/>
        </w:rPr>
        <w:t xml:space="preserve"> – offering free subscription to schools during lockdown</w:t>
      </w:r>
    </w:p>
    <w:p w14:paraId="2AAE87D3" w14:textId="1F10FF2E" w:rsidR="00F1263A" w:rsidRPr="00144833" w:rsidRDefault="00F1263A" w:rsidP="00C421F4">
      <w:pPr>
        <w:pStyle w:val="ListParagraph"/>
        <w:numPr>
          <w:ilvl w:val="0"/>
          <w:numId w:val="3"/>
        </w:numPr>
        <w:spacing w:line="360" w:lineRule="auto"/>
        <w:rPr>
          <w:color w:val="44546A" w:themeColor="text2"/>
          <w:sz w:val="24"/>
          <w:szCs w:val="24"/>
        </w:rPr>
      </w:pPr>
      <w:proofErr w:type="spellStart"/>
      <w:r w:rsidRPr="00144833">
        <w:rPr>
          <w:color w:val="44546A" w:themeColor="text2"/>
          <w:sz w:val="24"/>
          <w:szCs w:val="24"/>
        </w:rPr>
        <w:t>Teachit</w:t>
      </w:r>
      <w:proofErr w:type="spellEnd"/>
      <w:r w:rsidRPr="00144833">
        <w:rPr>
          <w:color w:val="44546A" w:themeColor="text2"/>
          <w:sz w:val="24"/>
          <w:szCs w:val="24"/>
        </w:rPr>
        <w:t xml:space="preserve"> languages – some free resources, others through subscription only </w:t>
      </w:r>
    </w:p>
    <w:p w14:paraId="1D873D56" w14:textId="3D8651D0" w:rsidR="00B3570A" w:rsidRDefault="00B3570A" w:rsidP="00B3570A">
      <w:pPr>
        <w:pStyle w:val="ListParagraph"/>
        <w:numPr>
          <w:ilvl w:val="0"/>
          <w:numId w:val="2"/>
        </w:numPr>
        <w:spacing w:line="360" w:lineRule="auto"/>
        <w:rPr>
          <w:color w:val="C00000"/>
          <w:sz w:val="30"/>
          <w:szCs w:val="32"/>
        </w:rPr>
      </w:pPr>
      <w:r w:rsidRPr="00DF15AF">
        <w:rPr>
          <w:color w:val="C00000"/>
          <w:sz w:val="30"/>
          <w:szCs w:val="32"/>
        </w:rPr>
        <w:t xml:space="preserve">Setting the next meeting </w:t>
      </w:r>
    </w:p>
    <w:p w14:paraId="64FD7FE3" w14:textId="6D4DAE97" w:rsidR="007173AE" w:rsidRPr="007173AE" w:rsidRDefault="007173AE" w:rsidP="007173AE">
      <w:pPr>
        <w:pStyle w:val="ListParagraph"/>
        <w:numPr>
          <w:ilvl w:val="0"/>
          <w:numId w:val="3"/>
        </w:numPr>
        <w:spacing w:line="360" w:lineRule="auto"/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>I suggest Wednesday 24</w:t>
      </w:r>
      <w:r w:rsidRPr="007173AE">
        <w:rPr>
          <w:color w:val="44546A" w:themeColor="text2"/>
          <w:sz w:val="24"/>
          <w:szCs w:val="24"/>
          <w:vertAlign w:val="superscript"/>
        </w:rPr>
        <w:t>th</w:t>
      </w:r>
      <w:r>
        <w:rPr>
          <w:color w:val="44546A" w:themeColor="text2"/>
          <w:sz w:val="24"/>
          <w:szCs w:val="24"/>
        </w:rPr>
        <w:t xml:space="preserve"> Feb</w:t>
      </w:r>
    </w:p>
    <w:p w14:paraId="6848D957" w14:textId="77777777" w:rsidR="001459DA" w:rsidRPr="00DF15AF" w:rsidRDefault="001459DA" w:rsidP="00B3570A">
      <w:pPr>
        <w:pStyle w:val="ListParagraph"/>
        <w:numPr>
          <w:ilvl w:val="0"/>
          <w:numId w:val="2"/>
        </w:numPr>
        <w:spacing w:line="360" w:lineRule="auto"/>
        <w:rPr>
          <w:color w:val="C00000"/>
          <w:sz w:val="30"/>
          <w:szCs w:val="32"/>
        </w:rPr>
      </w:pPr>
      <w:r w:rsidRPr="00DF15AF">
        <w:rPr>
          <w:color w:val="C00000"/>
          <w:sz w:val="30"/>
          <w:szCs w:val="32"/>
        </w:rPr>
        <w:t>AOB</w:t>
      </w:r>
    </w:p>
    <w:sectPr w:rsidR="001459DA" w:rsidRPr="00DF1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45"/>
    <w:multiLevelType w:val="hybridMultilevel"/>
    <w:tmpl w:val="D86C6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042ED"/>
    <w:multiLevelType w:val="hybridMultilevel"/>
    <w:tmpl w:val="98B283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F04C3"/>
    <w:multiLevelType w:val="hybridMultilevel"/>
    <w:tmpl w:val="CCB6E6E2"/>
    <w:lvl w:ilvl="0" w:tplc="0478D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DA"/>
    <w:rsid w:val="00143061"/>
    <w:rsid w:val="00144833"/>
    <w:rsid w:val="001459DA"/>
    <w:rsid w:val="00203D7D"/>
    <w:rsid w:val="00271D9F"/>
    <w:rsid w:val="003141A2"/>
    <w:rsid w:val="0038511F"/>
    <w:rsid w:val="0058066B"/>
    <w:rsid w:val="00714307"/>
    <w:rsid w:val="007173AE"/>
    <w:rsid w:val="008055DC"/>
    <w:rsid w:val="00893C62"/>
    <w:rsid w:val="00A03203"/>
    <w:rsid w:val="00A657BB"/>
    <w:rsid w:val="00B0698C"/>
    <w:rsid w:val="00B3570A"/>
    <w:rsid w:val="00C421F4"/>
    <w:rsid w:val="00DF15AF"/>
    <w:rsid w:val="00E8572E"/>
    <w:rsid w:val="00F1263A"/>
    <w:rsid w:val="00FB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DF45B"/>
  <w15:chartTrackingRefBased/>
  <w15:docId w15:val="{8E54D508-4110-4518-BEC7-A36F9332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9c25945f-e143-4c36-a394-94e07dd9a876">
      <UserInfo>
        <DisplayName/>
        <AccountId xsi:nil="true"/>
        <AccountType/>
      </UserInfo>
    </Teachers>
    <Is_Collaboration_Space_Locked xmlns="9c25945f-e143-4c36-a394-94e07dd9a876" xsi:nil="true"/>
    <NotebookType xmlns="9c25945f-e143-4c36-a394-94e07dd9a876" xsi:nil="true"/>
    <IsNotebookLocked xmlns="9c25945f-e143-4c36-a394-94e07dd9a876" xsi:nil="true"/>
    <FolderType xmlns="9c25945f-e143-4c36-a394-94e07dd9a876" xsi:nil="true"/>
    <Owner xmlns="9c25945f-e143-4c36-a394-94e07dd9a876">
      <UserInfo>
        <DisplayName/>
        <AccountId xsi:nil="true"/>
        <AccountType/>
      </UserInfo>
    </Owner>
    <Students xmlns="9c25945f-e143-4c36-a394-94e07dd9a876">
      <UserInfo>
        <DisplayName/>
        <AccountId xsi:nil="true"/>
        <AccountType/>
      </UserInfo>
    </Students>
    <TeamsChannelId xmlns="9c25945f-e143-4c36-a394-94e07dd9a876" xsi:nil="true"/>
    <Student_Groups xmlns="9c25945f-e143-4c36-a394-94e07dd9a876">
      <UserInfo>
        <DisplayName/>
        <AccountId xsi:nil="true"/>
        <AccountType/>
      </UserInfo>
    </Student_Groups>
    <Invited_Teachers xmlns="9c25945f-e143-4c36-a394-94e07dd9a876" xsi:nil="true"/>
    <CultureName xmlns="9c25945f-e143-4c36-a394-94e07dd9a876" xsi:nil="true"/>
    <Templates xmlns="9c25945f-e143-4c36-a394-94e07dd9a876" xsi:nil="true"/>
    <Self_Registration_Enabled xmlns="9c25945f-e143-4c36-a394-94e07dd9a876" xsi:nil="true"/>
    <Has_Teacher_Only_SectionGroup xmlns="9c25945f-e143-4c36-a394-94e07dd9a876" xsi:nil="true"/>
    <DefaultSectionNames xmlns="9c25945f-e143-4c36-a394-94e07dd9a876" xsi:nil="true"/>
    <AppVersion xmlns="9c25945f-e143-4c36-a394-94e07dd9a876" xsi:nil="true"/>
    <Invited_Students xmlns="9c25945f-e143-4c36-a394-94e07dd9a8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E3FBCE7BF6F45B569435FF980312E" ma:contentTypeVersion="29" ma:contentTypeDescription="Create a new document." ma:contentTypeScope="" ma:versionID="178807b87750ecd8068f86d0f76c6d2b">
  <xsd:schema xmlns:xsd="http://www.w3.org/2001/XMLSchema" xmlns:xs="http://www.w3.org/2001/XMLSchema" xmlns:p="http://schemas.microsoft.com/office/2006/metadata/properties" xmlns:ns3="9c25945f-e143-4c36-a394-94e07dd9a876" xmlns:ns4="0f8592bc-cf39-4826-9ca8-c6214ad8f331" targetNamespace="http://schemas.microsoft.com/office/2006/metadata/properties" ma:root="true" ma:fieldsID="fc9f04b423bbc952ab930bc5875e54a2" ns3:_="" ns4:_="">
    <xsd:import namespace="9c25945f-e143-4c36-a394-94e07dd9a876"/>
    <xsd:import namespace="0f8592bc-cf39-4826-9ca8-c6214ad8f3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5945f-e143-4c36-a394-94e07dd9a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592bc-cf39-4826-9ca8-c6214ad8f331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97039-D76D-40A7-B52F-C3943D4B3137}">
  <ds:schemaRefs>
    <ds:schemaRef ds:uri="http://schemas.microsoft.com/office/2006/metadata/properties"/>
    <ds:schemaRef ds:uri="http://schemas.microsoft.com/office/infopath/2007/PartnerControls"/>
    <ds:schemaRef ds:uri="9c25945f-e143-4c36-a394-94e07dd9a876"/>
  </ds:schemaRefs>
</ds:datastoreItem>
</file>

<file path=customXml/itemProps2.xml><?xml version="1.0" encoding="utf-8"?>
<ds:datastoreItem xmlns:ds="http://schemas.openxmlformats.org/officeDocument/2006/customXml" ds:itemID="{C3B3A81A-C1A4-445C-BFCE-E5B654FEA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ECAB1-46D7-4B6A-AEBA-3EE98A15A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5945f-e143-4c36-a394-94e07dd9a876"/>
    <ds:schemaRef ds:uri="0f8592bc-cf39-4826-9ca8-c6214ad8f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School, Canterbury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Ledger</dc:creator>
  <cp:keywords/>
  <dc:description/>
  <cp:lastModifiedBy>Localuser</cp:lastModifiedBy>
  <cp:revision>2</cp:revision>
  <dcterms:created xsi:type="dcterms:W3CDTF">2021-01-26T09:29:00Z</dcterms:created>
  <dcterms:modified xsi:type="dcterms:W3CDTF">2021-01-26T09:29:00Z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0x01010008FE3FBCE7BF6F45B569435FF980312E</vt:lpwstr>
  </property>
</Properties>
</file>